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18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18"/>
          <w:shd w:fill="auto" w:val="clear"/>
        </w:rPr>
        <w:t xml:space="preserve">Nr referencyjny: 19/ZP/2022</w:t>
      </w:r>
    </w:p>
    <w:p>
      <w:pPr>
        <w:spacing w:before="0" w:after="120" w:line="240"/>
        <w:ind w:right="0" w:left="0" w:firstLine="0"/>
        <w:jc w:val="right"/>
        <w:rPr>
          <w:rFonts w:ascii="Calibri Light" w:hAnsi="Calibri Light" w:cs="Calibri Light" w:eastAsia="Calibri Light"/>
          <w:color w:val="auto"/>
          <w:spacing w:val="0"/>
          <w:position w:val="0"/>
          <w:sz w:val="23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3"/>
          <w:shd w:fill="auto" w:val="clear"/>
        </w:rPr>
        <w:t xml:space="preserve">Okszów,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3"/>
          <w:shd w:fill="auto" w:val="clear"/>
        </w:rPr>
        <w:t xml:space="preserve">3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3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3"/>
          <w:shd w:fill="auto" w:val="clear"/>
        </w:rPr>
        <w:t xml:space="preserve">listopada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3"/>
          <w:shd w:fill="auto" w:val="clear"/>
        </w:rPr>
        <w:t xml:space="preserve"> 2022 r.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956" w:hanging="141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Do:</w:t>
        <w:tab/>
        <w:t xml:space="preserve">Wszyscy Wykonawcy ubiegaj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ący się o udzielenie zam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ówienia</w:t>
      </w:r>
    </w:p>
    <w:p>
      <w:pPr>
        <w:spacing w:before="0" w:after="12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387" w:leader="none"/>
        </w:tabs>
        <w:spacing w:before="0" w:after="120" w:line="240"/>
        <w:ind w:right="3685" w:left="1410" w:hanging="141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18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18"/>
          <w:shd w:fill="auto" w:val="clear"/>
        </w:rPr>
        <w:t xml:space="preserve">Dotyczy:</w:t>
        <w:tab/>
        <w:t xml:space="preserve">Post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18"/>
          <w:shd w:fill="auto" w:val="clear"/>
        </w:rPr>
        <w:t xml:space="preserve">ępowanie o udzielenie zam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18"/>
          <w:shd w:fill="auto" w:val="clear"/>
        </w:rPr>
        <w:t xml:space="preserve">ówienia publicznego w trybie podstawowym na podstawie art. 275 pkt 1) PZP, pn. 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18"/>
          <w:shd w:fill="auto" w:val="clear"/>
        </w:rPr>
        <w:t xml:space="preserve">Us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18"/>
          <w:shd w:fill="auto" w:val="clear"/>
        </w:rPr>
        <w:t xml:space="preserve">ługi hotelarsko-restauracyjne dla uczestnik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18"/>
          <w:shd w:fill="auto" w:val="clear"/>
        </w:rPr>
        <w:t xml:space="preserve">ów mi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18"/>
          <w:shd w:fill="auto" w:val="clear"/>
        </w:rPr>
        <w:t xml:space="preserve">ędzynarodowej mobilności edukacyjnej w ramach programu POWER, Ponadnarodowa Mobilność Uczni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18"/>
          <w:shd w:fill="auto" w:val="clear"/>
        </w:rPr>
        <w:t xml:space="preserve">ów w Wilnie na Litwie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18"/>
          <w:shd w:fill="auto" w:val="clear"/>
        </w:rPr>
        <w:t xml:space="preserve">, numer post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18"/>
          <w:shd w:fill="auto" w:val="clear"/>
        </w:rPr>
        <w:t xml:space="preserve">ępowania: 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18"/>
          <w:shd w:fill="auto" w:val="clear"/>
        </w:rPr>
        <w:t xml:space="preserve">19/ZP/2022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18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Uprzejmie informuj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ę, że w trakcie trwania przedmiotowego postępowania do Zamawiającego wpłynęło pytanie,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przedstawiam poni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 wraz z odpowiedzią.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u w:val="single"/>
          <w:shd w:fill="auto" w:val="clear"/>
        </w:rPr>
        <w:t xml:space="preserve">PYTANIE: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wracam si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ę z pytaniem dotyczącym treści opz: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Wykonawca zapewnia: zaplecze sportowe (basen, boisko do piłki nożnej lub koszykowej lub inna infrastruktura  sportowa)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–  zlokalizowane  bezpo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średnio  w  lub  przy  tym  samym  obiekcie  co zakwaterowanie. Proszę </w:t>
        <w:br/>
        <w:t xml:space="preserve">o   doprecyzowanie   kto   pokrywa   koszty   korzystania   z   zaplecza sportowego  tj.  z  basenu  (wiele  hoteli ma  nieczynny  basen  w  związku  z  konieczną redukcją koszt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ów i Wykonawca planuje zapewnienie basenu </w:t>
        <w:br/>
        <w:t xml:space="preserve">w pobliskiej p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ływalni), boiska do piłki nożnej lub koszykowej   lub   innej   infrastruktury   sportowej. Druga   kwestia   -   proszę o   doprecyzowanie odległości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„przy  tym  samym  obiekcie  co  zakwaterowanie”  -  czy  Zamawiaj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ący  dopuszcza odległość do powyżej wskazanych miejsc do 500 metr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ów? 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u w:val="single"/>
          <w:shd w:fill="auto" w:val="clear"/>
        </w:rPr>
        <w:t xml:space="preserve">ODPOWIED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u w:val="single"/>
          <w:shd w:fill="auto" w:val="clear"/>
        </w:rPr>
        <w:t xml:space="preserve">Ź: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Zamawiaj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ący informuje, że koszty dostępu do zaplecza sportowego i/lub basenu Wykonawca powinien uwzględnić w ofertowej cenie całkowitej. Oferta Wykonawcy nie powinna zawierać żadnych dodatkowych koszt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w po stronie Zamawiaj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ącego. Zamawiający dopuszcza możliwość aby hotel bedący docelowym miejscem zakwaterowania posiadał albo zaplecze sportowe albo basen, ewentualnie zaplecze sportowe </w:t>
        <w:br/>
        <w:t xml:space="preserve">i basen zlokalizowane w odległości do 500 metr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w od miejsca zakwaterowania.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